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9FF8"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ALLGEMEINE GESCHÄFTSBEDINGUNGEN</w:t>
      </w:r>
    </w:p>
    <w:p w14:paraId="059AB2DB"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1 Geltungsbereich</w:t>
      </w:r>
      <w:r>
        <w:rPr>
          <w:rFonts w:ascii="Roboto" w:hAnsi="Roboto"/>
          <w:color w:val="4C4C4C"/>
          <w:sz w:val="21"/>
          <w:szCs w:val="21"/>
        </w:rPr>
        <w:br/>
        <w:t>1. Diese Verkaufsbedingungen gelten ausschließlich gegenüber Unternehmern, juristischen Personen des öffentlichen Rechts oder öffentlich-rechtlichen Sondervermögen im Sinne von § 310 Absatz 1 BGB. Entgegenstehende oder von unseren Verkaufsbedingungen abweichende Bedingungen des Bestellers erkennen wir nur an, wenn wir ausdrücklich schriftlich der Geltung zustimmen.</w:t>
      </w:r>
      <w:r>
        <w:rPr>
          <w:rFonts w:ascii="Roboto" w:hAnsi="Roboto"/>
          <w:color w:val="4C4C4C"/>
          <w:sz w:val="21"/>
          <w:szCs w:val="21"/>
        </w:rPr>
        <w:br/>
        <w:t>2. Diese Verkaufsbedingungen gelten auch für alle zukünftigen Geschäfte mit dem Besteller, soweit es sich um Rechtsgeschäfte verwandter Art handelt (vorsorglich sollten die Verkaufsbedingungen in jedem Fall der Auftragsbestätigung beigefügt werden).</w:t>
      </w:r>
      <w:r>
        <w:rPr>
          <w:rFonts w:ascii="Roboto" w:hAnsi="Roboto"/>
          <w:color w:val="4C4C4C"/>
          <w:sz w:val="21"/>
          <w:szCs w:val="21"/>
        </w:rPr>
        <w:br/>
        <w:t>3. Im Einzelfall getroffene, individuelle Vereinbarungen mit dem Käufer (einschließlich Nebenabreden, Ergänzungen und Änderungen) haben in jedem Fall Vorrang vor diesen Verkaufsbedingungen. Für den Inhalt derartiger Vereinbarungen ist, vorbehaltlich des Gegenbeweises, ein schriftlicher Vertrag bzw. unsere schriftliche Bestätigung maßgebend.</w:t>
      </w:r>
    </w:p>
    <w:p w14:paraId="1ACC3328"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2 Angebot und Vertragsabschluss</w:t>
      </w:r>
      <w:r>
        <w:rPr>
          <w:rFonts w:ascii="Roboto" w:hAnsi="Roboto"/>
          <w:color w:val="4C4C4C"/>
          <w:sz w:val="21"/>
          <w:szCs w:val="21"/>
        </w:rPr>
        <w:br/>
        <w:t>Sofern eine Bestellung als Angebot gemäß § 145 BGB anzusehen ist, können wir diese innerhalb von zwei Wochen annehmen.</w:t>
      </w:r>
    </w:p>
    <w:p w14:paraId="26D356D5"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3 Überlassene Unterlagen</w:t>
      </w:r>
      <w:r>
        <w:rPr>
          <w:rFonts w:ascii="Roboto" w:hAnsi="Roboto"/>
          <w:color w:val="4C4C4C"/>
          <w:sz w:val="21"/>
          <w:szCs w:val="21"/>
        </w:rPr>
        <w:br/>
        <w:t>An allen in Zusammenhang mit der Auftragserteilung dem Besteller überlassenen Unterlagen – auch in elektronischer Form –, wie z. B. Kalkulationen, Zeichnungen etc., behalten wir uns Eigentums- und Urheberrechte vor. Diese Unterlagen dürfen Dritten nicht zugänglich gemacht werden, es sei denn, wir erteilen dazu dem Besteller unsere ausdrückliche schriftliche Zustimmung. Soweit wir das Angebot des Bestellers nicht innerhalb der Frist von § 2 annehmen, sind diese Unterlagen uns unverzüglich zurückzusenden.</w:t>
      </w:r>
    </w:p>
    <w:p w14:paraId="14B6DFEE"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4 Preise und Zahlung</w:t>
      </w:r>
      <w:r>
        <w:rPr>
          <w:rFonts w:ascii="Roboto" w:hAnsi="Roboto"/>
          <w:color w:val="4C4C4C"/>
          <w:sz w:val="21"/>
          <w:szCs w:val="21"/>
        </w:rPr>
        <w:br/>
        <w:t>1. Sofern nichts Gegenteiliges schriftlich vereinbart wird, gelten unsere Preise ab Werk ausschließlich Verpackung und zuzüglich Mehrwertsteuer in jeweils gültiger Höhe. Kosten der Verpackung werden gesondert in Rechnung gestellt.</w:t>
      </w:r>
      <w:r>
        <w:rPr>
          <w:rFonts w:ascii="Roboto" w:hAnsi="Roboto"/>
          <w:color w:val="4C4C4C"/>
          <w:sz w:val="21"/>
          <w:szCs w:val="21"/>
        </w:rPr>
        <w:br/>
        <w:t>Die Zahlung des Kaufpreises hat ausschließlich auf das umseitig genannte Konto zu erfolgen. Der Abzug von Skonto ist nur bei schriftlicher besonderer Vereinbarung zulässig.</w:t>
      </w:r>
      <w:r>
        <w:rPr>
          <w:rFonts w:ascii="Roboto" w:hAnsi="Roboto"/>
          <w:color w:val="4C4C4C"/>
          <w:sz w:val="21"/>
          <w:szCs w:val="21"/>
        </w:rPr>
        <w:br/>
        <w:t xml:space="preserve">2. Sofern nichts anderes vereinbart wird, ist der Kaufpreis innerhalb von 10 Tagen nach Lieferung zu zahlen (Alternativen: </w:t>
      </w:r>
      <w:proofErr w:type="gramStart"/>
      <w:r>
        <w:rPr>
          <w:rFonts w:ascii="Roboto" w:hAnsi="Roboto"/>
          <w:color w:val="4C4C4C"/>
          <w:sz w:val="21"/>
          <w:szCs w:val="21"/>
        </w:rPr>
        <w:t>„ …</w:t>
      </w:r>
      <w:proofErr w:type="gramEnd"/>
      <w:r>
        <w:rPr>
          <w:rFonts w:ascii="Roboto" w:hAnsi="Roboto"/>
          <w:color w:val="4C4C4C"/>
          <w:sz w:val="21"/>
          <w:szCs w:val="21"/>
        </w:rPr>
        <w:t xml:space="preserve"> ist der Kaufpreis innerhalb von 21 Tagen nach Rechnungsstellung zahlbar“ oder „ … ist der Kaufpreis bis zum – konkretes Datum – zahlbar“). Verzugszinsen werden in Höhe von 8 % über dem jeweiligen Basiszinssatz p.a. (siehe Anlage 1) berechnet. Die Geltendmachung eines höheren Verzugsschadens bleibt vorbehalten.</w:t>
      </w:r>
      <w:r>
        <w:rPr>
          <w:rFonts w:ascii="Roboto" w:hAnsi="Roboto"/>
          <w:color w:val="4C4C4C"/>
          <w:sz w:val="21"/>
          <w:szCs w:val="21"/>
        </w:rPr>
        <w:br/>
        <w:t>3. Sofern keine Festpreisabrede getroffen wurde, bleiben angemessene Preisänderungen wegen veränderter Lohn-, Material- und Vertriebskosten für Lieferungen, die 3 Monate oder später nach Vertragsabschluss erfolgen, vorbehalten.</w:t>
      </w:r>
    </w:p>
    <w:p w14:paraId="46B969EE"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5 Zurückbehaltungsrechte</w:t>
      </w:r>
      <w:r>
        <w:rPr>
          <w:rFonts w:ascii="Roboto" w:hAnsi="Roboto"/>
          <w:color w:val="4C4C4C"/>
          <w:sz w:val="21"/>
          <w:szCs w:val="21"/>
        </w:rPr>
        <w:br/>
        <w:t>Zur Ausübung eines Zurückbehaltungsrechts ist der Besteller nur insoweit befugt, als sein Gegenanspruch auf dem gleichen Vertragsverhältnis beruht.</w:t>
      </w:r>
    </w:p>
    <w:p w14:paraId="52219957" w14:textId="7E11D9F0"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6 Lieferzeit</w:t>
      </w:r>
      <w:r>
        <w:rPr>
          <w:rFonts w:ascii="Roboto" w:hAnsi="Roboto"/>
          <w:color w:val="4C4C4C"/>
          <w:sz w:val="21"/>
          <w:szCs w:val="21"/>
        </w:rPr>
        <w:br/>
        <w:t>1. Der Beginn der von uns angegebenen Lieferzeit setzt die rechtzeitige und ordnungsgemäße Erfüllung der Verpflichtungen des Bestellers voraus. Die Einrede des nicht erfüllten Vertrages bleibt vorbehalten.</w:t>
      </w:r>
      <w:r>
        <w:rPr>
          <w:rFonts w:ascii="Roboto" w:hAnsi="Roboto"/>
          <w:color w:val="4C4C4C"/>
          <w:sz w:val="21"/>
          <w:szCs w:val="21"/>
        </w:rPr>
        <w:br/>
        <w:t xml:space="preserve">2. Kommt der Besteller in Annahmeverzug oder verletzt er schuldhaft sonstige Mitwirkungspflichten, so sind wir berechtigt, den uns insoweit entstehenden Schaden, einschließlich etwaiger Mehraufwendungen ersetzt zu verlangen. Weitergehende Ansprüche </w:t>
      </w:r>
      <w:r>
        <w:rPr>
          <w:rFonts w:ascii="Roboto" w:hAnsi="Roboto"/>
          <w:color w:val="4C4C4C"/>
          <w:sz w:val="21"/>
          <w:szCs w:val="21"/>
        </w:rPr>
        <w:lastRenderedPageBreak/>
        <w:t>bleiben vorbehalten. Sofern vorstehende Voraussetzungen vorliegen, geht die Gefahr eines zufälligen Untergangs oder einer zufälligen Verschlechterung der Kaufsache in dem Zeitpunkt auf den Besteller über, in dem dieser in Annahme- oder Schuldnerverzug geraten ist.</w:t>
      </w:r>
      <w:r>
        <w:rPr>
          <w:rFonts w:ascii="Roboto" w:hAnsi="Roboto"/>
          <w:color w:val="4C4C4C"/>
          <w:sz w:val="21"/>
          <w:szCs w:val="21"/>
        </w:rPr>
        <w:br/>
        <w:t xml:space="preserve">3. Wir haften im Fall des von uns nicht vorsätzlich oder grob fahrlässig herbeigeführten Lieferverzugs für jede vollendete Woche Verzug im Rahmen einer pauschalierten Verzugsentschädigung in Höhe von </w:t>
      </w:r>
      <w:r>
        <w:rPr>
          <w:rFonts w:ascii="Roboto" w:hAnsi="Roboto"/>
          <w:color w:val="4C4C4C"/>
          <w:sz w:val="21"/>
          <w:szCs w:val="21"/>
        </w:rPr>
        <w:t>3</w:t>
      </w:r>
      <w:r>
        <w:rPr>
          <w:rFonts w:ascii="Roboto" w:hAnsi="Roboto"/>
          <w:color w:val="4C4C4C"/>
          <w:sz w:val="21"/>
          <w:szCs w:val="21"/>
        </w:rPr>
        <w:t xml:space="preserve"> % des Lieferwertes, maximal jedoch nicht mehr als 15 % des Lieferwertes.</w:t>
      </w:r>
      <w:r>
        <w:rPr>
          <w:rFonts w:ascii="Roboto" w:hAnsi="Roboto"/>
          <w:color w:val="4C4C4C"/>
          <w:sz w:val="21"/>
          <w:szCs w:val="21"/>
        </w:rPr>
        <w:br/>
        <w:t>4. Weitere gesetzliche Ansprüche und Rechte des Bestellers wegen eines Lieferverzuges bleiben unberührt.</w:t>
      </w:r>
    </w:p>
    <w:p w14:paraId="6E047C30"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7 Gefahrübergang bei Versendung</w:t>
      </w:r>
      <w:r>
        <w:rPr>
          <w:rFonts w:ascii="Roboto" w:hAnsi="Roboto"/>
          <w:color w:val="4C4C4C"/>
          <w:sz w:val="21"/>
          <w:szCs w:val="21"/>
        </w:rPr>
        <w:br/>
      </w:r>
      <w:proofErr w:type="gramStart"/>
      <w:r>
        <w:rPr>
          <w:rFonts w:ascii="Roboto" w:hAnsi="Roboto"/>
          <w:color w:val="4C4C4C"/>
          <w:sz w:val="21"/>
          <w:szCs w:val="21"/>
        </w:rPr>
        <w:t>Wird</w:t>
      </w:r>
      <w:proofErr w:type="gramEnd"/>
      <w:r>
        <w:rPr>
          <w:rFonts w:ascii="Roboto" w:hAnsi="Roboto"/>
          <w:color w:val="4C4C4C"/>
          <w:sz w:val="21"/>
          <w:szCs w:val="21"/>
        </w:rPr>
        <w:t xml:space="preserve"> die Ware auf Wunsch des Bestellers an diesen versandt, so geht mit der Absendung an den Besteller, spätestens mit Verlassen des Werks/Lagers die Gefahr des zufälligen Untergangs oder der zufälligen Verschlechterung der Ware auf den Besteller über. Dies gilt unabhängig davon, ob die Versendung der Ware vom Erfüllungsort erfolgt oder wer die Frachtkosten trägt.</w:t>
      </w:r>
    </w:p>
    <w:p w14:paraId="3D1D389F"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8 Eigentumsvorbehalt</w:t>
      </w:r>
      <w:r>
        <w:rPr>
          <w:rFonts w:ascii="Roboto" w:hAnsi="Roboto"/>
          <w:color w:val="4C4C4C"/>
          <w:sz w:val="21"/>
          <w:szCs w:val="21"/>
        </w:rPr>
        <w:br/>
        <w:t>1. Wir behalten uns das Eigentum an der gelieferten Sache bis zur vollständigen Zahlung sämtlicher Forderungen aus dem Liefervertrag vor. Dies gilt auch für alle zukünftigen Lieferungen, auch wenn wir uns nicht stets ausdrücklich hierauf berufen. Wir sind berechtigt, die Kaufsache zurückzunehmen, wenn der Besteller sich vertragswidrig verhält.</w:t>
      </w:r>
    </w:p>
    <w:p w14:paraId="2511F6EB"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2. Der Besteller 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Besteller diese auf eigene Kosten rechtzeitig auszuführen. Solange das Eigentum noch nicht übergegangen ist, hat uns der Besteller unverzüglich schriftlich zu benachrichtigen, wenn der gelieferte Gegenstand gepfändet oder sonstigen Eingriffen Dritter ausgesetzt ist. Soweit der Dritte nicht in der Lage ist, uns die gerichtlichen und außergerichtlichen Kosten einer Klage gemäß § 771 ZPO zu erstatten, haftet der Besteller für den uns entstandenen Ausfall.</w:t>
      </w:r>
    </w:p>
    <w:p w14:paraId="3D3A4FF7"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3. Der Besteller ist zur Weiterveräußerung der Vorbehaltsware im normalen Geschäftsverkehr berechtigt. Die Forderungen gegenüber dem Abnehmer aus der Weiterveräußerung der Vorbehaltsware tritt der Besteller schon jetzt an uns in Höhe des mit uns vereinbarten Faktura-Endbetrages (einschließlich Mehrwertsteuer) ab. Diese Abtretung gilt unabhängig davon, ob die Kaufsache ohne oder nach Verarbeitung weiterverkauft worden ist. Der Besteller bleibt zur Einziehung der Forderung auch nach der Abtretung ermächtigt. Unsere Befugnis, die Forderung selbst einzuziehen, bleibt davon unberührt. Wir werden jedoch die Forderung nicht einziehen, solange der Besteller seinen Zahlungsverpflichtungen aus den vereinnahmten Erlösen nachkommt, nicht in Zahlungsverzug ist und insbesondere kein Antrag auf Eröffnung eines Insolvenzverfahrens gestellt ist oder Zahlungseinstellung vorliegt. [Anmerkung: Diese Klausel entfällt, wenn kein verlängerter Eigentumsvorbehalt gewollt ist.]</w:t>
      </w:r>
    </w:p>
    <w:p w14:paraId="011A9239"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 xml:space="preserve">4. Die Be-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anteilmäßig Miteigentum überträgt und das so entstandene Alleineigentum oder Miteigentum für uns verwahrt. Zur Sicherung unserer </w:t>
      </w:r>
      <w:r>
        <w:rPr>
          <w:rFonts w:ascii="Roboto" w:hAnsi="Roboto"/>
          <w:color w:val="4C4C4C"/>
          <w:sz w:val="21"/>
          <w:szCs w:val="21"/>
        </w:rPr>
        <w:lastRenderedPageBreak/>
        <w:t>Forderungen gegen den Besteller tritt der Besteller auch solche Forderungen an uns ab, die ihm durch die Verbindung der Vorbehaltsware mit einem Grundstück gegen einen Dritten erwachsen; wir nehmen diese Abtretung schon jetzt an.</w:t>
      </w:r>
    </w:p>
    <w:p w14:paraId="73683FDD"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5. Wir verpflichten uns, die uns zustehenden Sicherheiten auf Verlangen des Bestellers freizugeben, soweit ihr Wert die zu sichernden Forderungen um mehr als 20 % übersteigt.</w:t>
      </w:r>
    </w:p>
    <w:p w14:paraId="0166F31B"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t>§ 9 Gewährleistung und Mängelrüge sowie Rückgriff/Herstellerregress</w:t>
      </w:r>
      <w:r>
        <w:rPr>
          <w:rFonts w:ascii="Roboto" w:hAnsi="Roboto"/>
          <w:color w:val="4C4C4C"/>
          <w:sz w:val="21"/>
          <w:szCs w:val="21"/>
        </w:rPr>
        <w:br/>
        <w:t>1. Gewährleistungsrechte des Bestellers setzen voraus, dass dieser seinen nach § 377 HGB geschuldeten Untersuchungs- und Rügeobliegenheiten ordnungsgemäß nachgekommen ist.</w:t>
      </w:r>
    </w:p>
    <w:p w14:paraId="65890E86"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2. Mängelansprüche verjähren in 12 Monaten nach erfolgter Ablieferung der von uns gelieferten Ware bei unserem Besteller. Für Schadensersatzansprüche bei Vorsatz und grober Fahrlässigkeit sowie bei Verletzung von Leben, Körper und Gesundheit, die auf einer vorsätzlichen oder fahrlässigen Pflichtverletzung des Verwenders beruhen, gilt die gesetzliche Verjährungsfrist. (Hinweis: bei dem Verkauf gebrauchter Güter kann die Gewährleistungsfrist mit Ausnahme der im Satz 2 genannten Schadensersatzansprüche ganz ausgeschlossen werden).</w:t>
      </w:r>
      <w:r>
        <w:rPr>
          <w:rFonts w:ascii="Roboto" w:hAnsi="Roboto"/>
          <w:color w:val="4C4C4C"/>
          <w:sz w:val="21"/>
          <w:szCs w:val="21"/>
        </w:rPr>
        <w:br/>
        <w:t>Soweit das Gesetz gemäß § 438 Abs. 1 Nr. 2 BGB (Bauwerke und Sachen für Bauwerke), § 445 b BGB (Rückgriffsanspruch) und § 634a Absatz 1 BGB (Baumängel) längere Fristen zwingend vorschreibt, gelten diese Fristen. Vor etwaiger Rücksendung der Ware ist unsere Zustimmung einzuholen.</w:t>
      </w:r>
    </w:p>
    <w:p w14:paraId="55FF21F7"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3. Sollte trotz aller aufgewendeter Sorgfalt die gelieferte Ware einen Mangel aufweisen, der bereits zum Zeitpunkt des Gefahrübergangs vorlag, so werden wir die Ware, vorbehaltlich fristgerechter Mängelrüge nach unserer Wahl nachbessern oder Ersatzware liefern. Es ist uns stets Gelegenheit zur Nacherfüllung innerhalb angemessener Frist zu geben. Rückgriffsansprüche bleiben von vorstehender Regelung ohne Einschränkung unberührt.</w:t>
      </w:r>
    </w:p>
    <w:p w14:paraId="37C6ECA1"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4. Schlägt die Nacherfüllung fehl, kann der Besteller – unbeschadet etwaiger Schadensersatzansprüche – vom Vertrag zurücktreten oder die Vergütung mindern.</w:t>
      </w:r>
    </w:p>
    <w:p w14:paraId="6570A58B"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5. Mängelansprüche bestehen nicht bei nur unerheblicher Abweichung von der vereinbarten Beschaffenheit, bei nur unerheblicher Beeinträchtigung der Brauchbarkeit, bei natürlicher Abnutzung oder Verschleiß wie bei Schäden, die nach dem Gefahrübergang infolge fehlerhafter oder nachlässiger Behandlung, übermäßiger Beanspruchung, ungeeigneter Betriebsmittel, mangelhafter Bauarbeiten, ungeeigneten Baugrundes oder aufgrund besonderer äußerer Einflüsse entstehen, die nach dem Vertrag nicht vorausgesetzt sind. Werden vom Besteller oder Dritten unsachgemäß Instandsetzungsarbeiten oder Änderungen vorgenommen, so bestehen für diese und die daraus entstehenden Folgen ebenfalls keine Mängelansprüche.</w:t>
      </w:r>
    </w:p>
    <w:p w14:paraId="2D8BA328"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6. Ansprüche des Bestellers wegen der zum Zweck der Nacherfüllung erforderlichen Aufwendungen, insbesondere Transport-, Wege-, Arbeits- und Materialkosten, sind ausgeschlossen, soweit die Aufwendungen sich erhöhen, weil die von uns gelieferte Ware nachträglich an einen anderen Ort als die Niederlassung des Bestellers verbracht worden ist, es sei denn, die Verbringung entspricht ihrem bestimmungsgemäßen Gebrauch.</w:t>
      </w:r>
    </w:p>
    <w:p w14:paraId="60FF1151"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7. Rückgriffsansprüche des Bestellers gegen uns bestehen nur insoweit, als der Besteller mit seinem Abnehmer keine über die gesetzlich zwingenden Mängelansprüche hinausgehenden Vereinbarungen getroffen hat. Für den Umfang des Rückgriffsanspruches des Bestellers gegen den Lieferer gilt ferner Absatz 6 entsprechend.</w:t>
      </w:r>
    </w:p>
    <w:p w14:paraId="34483DD2"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Style w:val="Fett"/>
          <w:rFonts w:ascii="Roboto" w:eastAsiaTheme="majorEastAsia" w:hAnsi="Roboto"/>
          <w:color w:val="4C4C4C"/>
          <w:sz w:val="21"/>
          <w:szCs w:val="21"/>
        </w:rPr>
        <w:lastRenderedPageBreak/>
        <w:t>§ 10 Sonstiges</w:t>
      </w:r>
      <w:r>
        <w:rPr>
          <w:rFonts w:ascii="Roboto" w:hAnsi="Roboto"/>
          <w:color w:val="4C4C4C"/>
          <w:sz w:val="21"/>
          <w:szCs w:val="21"/>
        </w:rPr>
        <w:br/>
        <w:t>1. Dieser Vertrag und die gesamten Rechtsbeziehungen der Parteien unterliegen dem Recht der Bundesrepublik Deutschland unter Ausschluss des UN-Kaufrechts (CISG).</w:t>
      </w:r>
    </w:p>
    <w:p w14:paraId="5278829F"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2. Erfüllungsort und ausschließlicher Gerichtsstand und für alle Streitigkeiten aus diesem Vertrag ist unser Geschäftssitz, sofern sich aus der Auftragsbestätigung nichts anderes ergibt (Hinweis: Die Verwendung der Klausel ist unzulässig, wenn mindestens eine der Parteien ein nicht im Handelsregister eingetragenes Unternehmen ist)</w:t>
      </w:r>
    </w:p>
    <w:p w14:paraId="7437E5BA" w14:textId="77777777" w:rsidR="009D45E2" w:rsidRDefault="009D45E2" w:rsidP="009D45E2">
      <w:pPr>
        <w:pStyle w:val="StandardWeb"/>
        <w:shd w:val="clear" w:color="auto" w:fill="FFFFFF"/>
        <w:spacing w:before="0" w:beforeAutospacing="0" w:after="300" w:afterAutospacing="0"/>
        <w:rPr>
          <w:rFonts w:ascii="Roboto" w:hAnsi="Roboto"/>
          <w:color w:val="4C4C4C"/>
          <w:sz w:val="21"/>
          <w:szCs w:val="21"/>
        </w:rPr>
      </w:pPr>
      <w:r>
        <w:rPr>
          <w:rFonts w:ascii="Roboto" w:hAnsi="Roboto"/>
          <w:color w:val="4C4C4C"/>
          <w:sz w:val="21"/>
          <w:szCs w:val="21"/>
        </w:rPr>
        <w:t>3. Alle Vereinbarungen, die zwischen den Parteien zwecks Ausführung dieses Vertrages getroffen werden, sind in diesem Vertrag schriftlich niedergelegt.</w:t>
      </w:r>
    </w:p>
    <w:p w14:paraId="15B6072C" w14:textId="77777777" w:rsidR="009D45E2" w:rsidRDefault="009D45E2"/>
    <w:sectPr w:rsidR="009D45E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769B" w14:textId="77777777" w:rsidR="006F52FE" w:rsidRDefault="006F52FE" w:rsidP="006F52FE">
      <w:pPr>
        <w:spacing w:after="0" w:line="240" w:lineRule="auto"/>
      </w:pPr>
      <w:r>
        <w:separator/>
      </w:r>
    </w:p>
  </w:endnote>
  <w:endnote w:type="continuationSeparator" w:id="0">
    <w:p w14:paraId="5A096D16" w14:textId="77777777" w:rsidR="006F52FE" w:rsidRDefault="006F52FE" w:rsidP="006F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82806"/>
      <w:docPartObj>
        <w:docPartGallery w:val="Page Numbers (Bottom of Page)"/>
        <w:docPartUnique/>
      </w:docPartObj>
    </w:sdtPr>
    <w:sdtContent>
      <w:p w14:paraId="35DBDCA7" w14:textId="57705A6A" w:rsidR="006F52FE" w:rsidRDefault="006F52FE">
        <w:pPr>
          <w:pStyle w:val="Fuzeile"/>
        </w:pPr>
        <w:r>
          <w:fldChar w:fldCharType="begin"/>
        </w:r>
        <w:r>
          <w:instrText>PAGE   \* MERGEFORMAT</w:instrText>
        </w:r>
        <w:r>
          <w:fldChar w:fldCharType="separate"/>
        </w:r>
        <w:r>
          <w:t>2</w:t>
        </w:r>
        <w:r>
          <w:fldChar w:fldCharType="end"/>
        </w:r>
      </w:p>
    </w:sdtContent>
  </w:sdt>
  <w:p w14:paraId="5D5A1CFF" w14:textId="77777777" w:rsidR="006F52FE" w:rsidRDefault="006F5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C8CF" w14:textId="77777777" w:rsidR="006F52FE" w:rsidRDefault="006F52FE" w:rsidP="006F52FE">
      <w:pPr>
        <w:spacing w:after="0" w:line="240" w:lineRule="auto"/>
      </w:pPr>
      <w:r>
        <w:separator/>
      </w:r>
    </w:p>
  </w:footnote>
  <w:footnote w:type="continuationSeparator" w:id="0">
    <w:p w14:paraId="4117F39B" w14:textId="77777777" w:rsidR="006F52FE" w:rsidRDefault="006F52FE" w:rsidP="006F5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A1E3" w14:textId="06BD9195" w:rsidR="006F52FE" w:rsidRDefault="006F52FE">
    <w:pPr>
      <w:pStyle w:val="Kopfzeile"/>
    </w:pPr>
    <w:sdt>
      <w:sdtPr>
        <w:alias w:val="Autor"/>
        <w:tag w:val=""/>
        <w:id w:val="-1013835537"/>
        <w:placeholder>
          <w:docPart w:val="ED70D7E4406D46BFB3012B3C55CD82D2"/>
        </w:placeholder>
        <w:dataBinding w:prefixMappings="xmlns:ns0='http://purl.org/dc/elements/1.1/' xmlns:ns1='http://schemas.openxmlformats.org/package/2006/metadata/core-properties' " w:xpath="/ns1:coreProperties[1]/ns0:creator[1]" w:storeItemID="{6C3C8BC8-F283-45AE-878A-BAB7291924A1}"/>
        <w:text/>
      </w:sdtPr>
      <w:sdtContent>
        <w:r>
          <w:t>Jan Habbel</w:t>
        </w:r>
      </w:sdtContent>
    </w:sdt>
    <w:r>
      <w:rPr>
        <w:noProof/>
      </w:rPr>
      <w:drawing>
        <wp:anchor distT="0" distB="0" distL="114300" distR="114300" simplePos="0" relativeHeight="251658240" behindDoc="1" locked="0" layoutInCell="1" allowOverlap="1" wp14:anchorId="5B29ED0C" wp14:editId="6C77A82A">
          <wp:simplePos x="0" y="0"/>
          <wp:positionH relativeFrom="margin">
            <wp:posOffset>5229225</wp:posOffset>
          </wp:positionH>
          <wp:positionV relativeFrom="paragraph">
            <wp:posOffset>-192405</wp:posOffset>
          </wp:positionV>
          <wp:extent cx="1073785" cy="487641"/>
          <wp:effectExtent l="0" t="0" r="0" b="8255"/>
          <wp:wrapNone/>
          <wp:docPr id="983933426"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33426"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3785" cy="4876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E2"/>
    <w:rsid w:val="0005054C"/>
    <w:rsid w:val="006F52FE"/>
    <w:rsid w:val="009D4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F00A5"/>
  <w15:chartTrackingRefBased/>
  <w15:docId w15:val="{A011D18E-AA39-4373-AAFE-3D1C2D0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45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D45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D45E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D45E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D45E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D45E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D45E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D45E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D45E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45E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D45E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D45E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D45E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D45E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D45E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D45E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D45E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D45E2"/>
    <w:rPr>
      <w:rFonts w:eastAsiaTheme="majorEastAsia" w:cstheme="majorBidi"/>
      <w:color w:val="272727" w:themeColor="text1" w:themeTint="D8"/>
    </w:rPr>
  </w:style>
  <w:style w:type="paragraph" w:styleId="Titel">
    <w:name w:val="Title"/>
    <w:basedOn w:val="Standard"/>
    <w:next w:val="Standard"/>
    <w:link w:val="TitelZchn"/>
    <w:uiPriority w:val="10"/>
    <w:qFormat/>
    <w:rsid w:val="009D45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D45E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D45E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D45E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D45E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D45E2"/>
    <w:rPr>
      <w:i/>
      <w:iCs/>
      <w:color w:val="404040" w:themeColor="text1" w:themeTint="BF"/>
    </w:rPr>
  </w:style>
  <w:style w:type="paragraph" w:styleId="Listenabsatz">
    <w:name w:val="List Paragraph"/>
    <w:basedOn w:val="Standard"/>
    <w:uiPriority w:val="34"/>
    <w:qFormat/>
    <w:rsid w:val="009D45E2"/>
    <w:pPr>
      <w:ind w:left="720"/>
      <w:contextualSpacing/>
    </w:pPr>
  </w:style>
  <w:style w:type="character" w:styleId="IntensiveHervorhebung">
    <w:name w:val="Intense Emphasis"/>
    <w:basedOn w:val="Absatz-Standardschriftart"/>
    <w:uiPriority w:val="21"/>
    <w:qFormat/>
    <w:rsid w:val="009D45E2"/>
    <w:rPr>
      <w:i/>
      <w:iCs/>
      <w:color w:val="0F4761" w:themeColor="accent1" w:themeShade="BF"/>
    </w:rPr>
  </w:style>
  <w:style w:type="paragraph" w:styleId="IntensivesZitat">
    <w:name w:val="Intense Quote"/>
    <w:basedOn w:val="Standard"/>
    <w:next w:val="Standard"/>
    <w:link w:val="IntensivesZitatZchn"/>
    <w:uiPriority w:val="30"/>
    <w:qFormat/>
    <w:rsid w:val="009D45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D45E2"/>
    <w:rPr>
      <w:i/>
      <w:iCs/>
      <w:color w:val="0F4761" w:themeColor="accent1" w:themeShade="BF"/>
    </w:rPr>
  </w:style>
  <w:style w:type="character" w:styleId="IntensiverVerweis">
    <w:name w:val="Intense Reference"/>
    <w:basedOn w:val="Absatz-Standardschriftart"/>
    <w:uiPriority w:val="32"/>
    <w:qFormat/>
    <w:rsid w:val="009D45E2"/>
    <w:rPr>
      <w:b/>
      <w:bCs/>
      <w:smallCaps/>
      <w:color w:val="0F4761" w:themeColor="accent1" w:themeShade="BF"/>
      <w:spacing w:val="5"/>
    </w:rPr>
  </w:style>
  <w:style w:type="paragraph" w:styleId="StandardWeb">
    <w:name w:val="Normal (Web)"/>
    <w:basedOn w:val="Standard"/>
    <w:uiPriority w:val="99"/>
    <w:semiHidden/>
    <w:unhideWhenUsed/>
    <w:rsid w:val="009D45E2"/>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9D45E2"/>
    <w:rPr>
      <w:b/>
      <w:bCs/>
    </w:rPr>
  </w:style>
  <w:style w:type="paragraph" w:styleId="Kopfzeile">
    <w:name w:val="header"/>
    <w:basedOn w:val="Standard"/>
    <w:link w:val="KopfzeileZchn"/>
    <w:uiPriority w:val="99"/>
    <w:unhideWhenUsed/>
    <w:rsid w:val="006F52F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F52FE"/>
  </w:style>
  <w:style w:type="paragraph" w:styleId="Fuzeile">
    <w:name w:val="footer"/>
    <w:basedOn w:val="Standard"/>
    <w:link w:val="FuzeileZchn"/>
    <w:uiPriority w:val="99"/>
    <w:unhideWhenUsed/>
    <w:rsid w:val="006F52F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F52FE"/>
  </w:style>
  <w:style w:type="character" w:styleId="Platzhaltertext">
    <w:name w:val="Placeholder Text"/>
    <w:basedOn w:val="Absatz-Standardschriftart"/>
    <w:uiPriority w:val="99"/>
    <w:semiHidden/>
    <w:rsid w:val="006F52F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0D7E4406D46BFB3012B3C55CD82D2"/>
        <w:category>
          <w:name w:val="Allgemein"/>
          <w:gallery w:val="placeholder"/>
        </w:category>
        <w:types>
          <w:type w:val="bbPlcHdr"/>
        </w:types>
        <w:behaviors>
          <w:behavior w:val="content"/>
        </w:behaviors>
        <w:guid w:val="{63888F46-9B16-4003-8FBC-284E287243E5}"/>
      </w:docPartPr>
      <w:docPartBody>
        <w:p w:rsidR="00440688" w:rsidRDefault="00440688">
          <w:r w:rsidRPr="00D95D09">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8"/>
    <w:rsid w:val="00440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0688"/>
    <w:rPr>
      <w:rFonts w:cs="Times New Roman"/>
      <w:sz w:val="3276"/>
      <w:szCs w:val="3276"/>
    </w:rPr>
  </w:style>
  <w:style w:type="character" w:default="1" w:styleId="Absatz-Standardschriftart">
    <w:name w:val="Default Paragraph Font"/>
    <w:uiPriority w:val="1"/>
    <w:semiHidden/>
    <w:unhideWhenUsed/>
    <w:rsid w:val="0044068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068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10035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Habbel</dc:creator>
  <cp:keywords/>
  <dc:description/>
  <cp:lastModifiedBy>Andreas Habbel</cp:lastModifiedBy>
  <cp:revision>2</cp:revision>
  <dcterms:created xsi:type="dcterms:W3CDTF">2024-02-12T10:12:00Z</dcterms:created>
  <dcterms:modified xsi:type="dcterms:W3CDTF">2024-02-12T10:12:00Z</dcterms:modified>
</cp:coreProperties>
</file>